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87 vom 29. November 2024</w:t>
      </w:r>
    </w:p>
    <w:p>
      <w:r>
        <w:t>VS Kantonsgericht, 2024-11-29, DE</w:t>
      </w:r>
    </w:p>
    <w:p>
      <w:r>
        <w:rPr>
          <w:b/>
        </w:rPr>
        <w:t xml:space="preserve">Quelle: </w:t>
      </w:r>
      <w:r>
        <w:t>https://mcp.opencaselaw.ch/entscheid/vs_gerichte_C3 24 87</w:t>
      </w:r>
    </w:p>
    <w:p>
      <w:r>
        <w:t>FR: VS_GERICHTE C3 24 87 du 29 novembre 2024</w:t>
      </w:r>
    </w:p>
    <w:p>
      <w:r>
        <w:t>IT: VS_GERICHTE C3 24 87 del 29 novembre 2024</w:t>
      </w:r>
    </w:p>
    <w:p>
      <w:pPr>
        <w:pStyle w:val="Heading2"/>
      </w:pPr>
      <w:r>
        <w:t>Regeste</w:t>
      </w:r>
    </w:p>
    <w:p>
      <w:r>
        <w:t>C3 24 87 ENTSCHEID VOM 29. NOVEMBER 2024 Kantonsgericht Wallis Zivilkammer Dr. Lionel Seeberger, Einzelrichter; Petra Stoffel, Gerichtsschreiberin in Sachen X _________, Arrestschuldner und Beschwerdeführer, vertreten durch Rechtsanwalt Marc Schaner, Zürich gegen Y _________, Arrestgläubigerin und Beschwerdegegnerin, vertreten durch Rechtsan- walt David Bensimon, Genf (Arrest) Beschwerde gegen den Entscheid des Bezirksgerichts Leuk - Westlich Raron vom 27. Juni 2024 [LWR BK 2024 108 und 40]</w:t>
      </w:r>
    </w:p>
    <w:p>
      <w:pPr>
        <w:pStyle w:val="Heading2"/>
      </w:pPr>
      <w:r>
        <w:t>Erwägungen</w:t>
      </w:r>
    </w:p>
    <w:p>
      <w:r>
        <w:rPr>
          <w:b/>
        </w:rPr>
        <w:t>E. 1</w:t>
      </w:r>
    </w:p>
    <w:p>
      <w:r>
        <w:t>Mit Beschwerde sind nicht berufungsfähige erstinstanzliche Endentscheide, Zwi- schenentscheide und Entscheide über vorsorgliche Massnahmen anfechtbar (Art. 319 lit. a ZPO). Nach Art. 309 lit. b Ziff. 3 und 6 ZPO unterliegen Arrestentscheide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Der Beschwerdeführer ist vorliegend als Partei vor der Vorinstanz mit seinen Anträgen unterlegen und mithin zur Beschwerdeführung legitimiert. Die Beschwerde erfolgte frist- und formgerecht (Art. 321 Abs. 1 und 2 ZPO) und es ist somit auf diese einzutreten.</w:t>
      </w:r>
    </w:p>
    <w:p>
      <w:r>
        <w:rPr>
          <w:b/>
        </w:rPr>
        <w:t>E. 2.1</w:t>
      </w:r>
    </w:p>
    <w:p>
      <w:r>
        <w:t>Mit der Beschwerde kann die unrichtige Rechtsanwendung und die offensichtlich unrichtige Feststellung des Sachverhaltes geltend gemacht werden (Art. 320 ZPO). Für das Arrestverfahren gilt zudem die Ausnahme von Art. 278 Abs. 3 SchKG, wonach auch vor der Rechtsmittelinstanz noch neue Tatsachen geltend gemacht werden können. Da-</w:t>
      </w:r>
    </w:p>
    <w:p>
      <w:r>
        <w:t>- 6 - bei ist Art. 317 Abs. 1 ZPO analog anzuwenden, wonach echte Noven unverzüglich vor- gebracht werden müssen und unechte Noven nur dann berücksichtigt werden können, wenn sie aus entschuldbaren Gründen nicht schon vor der Vorinstanz vorgetragen wur- den (BGE 145 III 324 E. 6.6.4).</w:t>
      </w:r>
    </w:p>
    <w:p>
      <w:r>
        <w:rPr>
          <w:b/>
        </w:rPr>
        <w:t>E. 2.2</w:t>
      </w:r>
    </w:p>
    <w:p>
      <w:r>
        <w:t>Für die Beschwerde gilt das Rügeprinzip, welches sich aus der Begründungspflicht des Rechtsmittels ergibt. Demnach überprüft die Rechtsmittelinstanz lediglich die in der Beschwerde vorgebrachten und genügend substantiierten Rügen, wobei rein appellato- rische Vorbringen diese Anforderungen nicht erfüllen. Im Übrigen kann die Zivilkammer den angefochtenen Entscheid, da sie das Recht von Amtes wegen anzuwenden hat, im Ergebnis mit einer von der Vorinstanz abweichenden Begründung bestätigen (BGE 136 III 247 E. 4, 132 II 257 E. 2.5; ZWR 2014 S. 238 f.). Beruht der Entscheid auf mehreren unabhängigen Begründungen, so ist jede einzelne gesondert zu rügen.</w:t>
      </w:r>
    </w:p>
    <w:p>
      <w:r>
        <w:rPr>
          <w:b/>
        </w:rPr>
        <w:t>E. 3.1</w:t>
      </w:r>
    </w:p>
    <w:p>
      <w:r>
        <w:t>Der Gläubiger ist – nebst anderen Gründen – zur Arrestlegung berechtigt, wenn der Schuldner nicht in der Schweiz wohnt und kein anderer Arrestgrund gegeben ist, die Forderung aber einen genügenden Bezug zur Schweiz aufweist oder auf einer Schuld- anerkennung im Sinne von Art. 82 Abs. 1 SchKG beruht (Art. 271 Abs. 1 Ziffer 4 SchKG). Ob die Betreibung vor oder nach der Arrestlegung eingeleitet wird, ist dabei irrelevant (Art. 279 Abs. 1 SchKG). Der Arrest wird bewilligt, wenn der Gläubiger u.a. glaubhaft macht, dass seine Forderung besteht (Art. 272 Abs. 1 Ziffer 1 SchKG). Die Forderung muss rechtsgültig entstanden und nicht durch Bezahlung oder aus einem anderen Grund untergegangen sein. Der Bestand und die Fälligkeit der Forderung hängen vom materi- ellen Recht ab. Sie sind bei Bestreitung im Prosequierungsverfahren nach Art. 279 SchKG richterlich zu klären. Die Fälligkeit einer Forderung aus einem zweiseitigen Ver- trag kann von der Erfüllung der Gegenleistung abhängig sein, die vom Arrestgläubiger wie die Forderung selbst glaubhaft zu machen ist (HABERBECK, Gedanken zum zweisei- tigen Vertrag als Schuldanerkennung im Sinne von Art. 82 Abs. 1 SchKG beim Auslän- derarrest gemäss Art. 271 Abs. 1 Ziff. 4 SchKG, AJP 2016 S. 452-461.). Eine Forderung aus einem zweiseitigen Vertrag, die der Schuldner wegen nicht erfüllter Gegenleistung (Art. 82 OR) zurückzuhalten berechtigt ist, ist zwar fällig, kann aber trotzdem nicht Ge- genstand eines Arrests bilden, weil sonst das Zurückbehaltungsrecht des Schuldners illusorisch würde (STOFFEL, Basler Kommentar, 2021, N. 34 zu Art. 271 SchKG). Wird eine Forderung arrestiert oder gepfändet, so bleiben dem Schuldner die Einreden erhalten, die der Forderung entgegenstanden. Denn die Pfändung bzw. Arrestierung ei-</w:t>
      </w:r>
    </w:p>
    <w:p>
      <w:r>
        <w:t>- 7 - ner Forderung kann die Stellung des Schuldners so wenig verschlechtern wie deren Ab- tretung. Zu den Einreden, die auch gegenüber einer gepfändeten Forderung geltend ge- macht werden können, gehört nun insbesondere diejenige der Verrechnung (BGE 100 III 79 E. 4 mit Hinweisen). Dabei ist nicht erforderlich, dass die Verrechnungseinrede im Zeitpunkt, als der Schuldner vom Arrest Kenntnis erhielt, bereits zulässig und erklärt war. Vielmehr genügt es, wenn der Schuldner in diesem Zeitpunkt die Aussicht hatte, dereinst bei der Fälligkeit seiner Schuld verrechnen zu können, was insbesondere dann zutrifft, wenn seine Gegenforderung zu jener Zeit schon bestand und bei Eintritt der Fälligkeit seiner Schuld ihrerseits fällig war (BGE 95 II 238), mithin die Gegenforderung bei der Arrestnahme im Rechtsgrunde nach bereits vorlag (BGE 100 III 79 E. 4 mit Hinweisen).</w:t>
      </w:r>
    </w:p>
    <w:p>
      <w:r>
        <w:rPr>
          <w:b/>
        </w:rPr>
        <w:t>E. 3.2</w:t>
      </w:r>
    </w:p>
    <w:p>
      <w:r>
        <w:t>Der Gläubiger haftet sowohl dem Schuldner als auch Dritten für den aus einem un- gerechtfertigten Arrest erwachsenden Schaden. Der Richter kann ihn zu einer Sicher- heitsleistung verpflichten (Art. 273 Abs. 1 SchKG).</w:t>
      </w:r>
    </w:p>
    <w:p>
      <w:r>
        <w:rPr>
          <w:b/>
        </w:rPr>
        <w:t>E. 4</w:t>
      </w:r>
    </w:p>
    <w:p>
      <w:r>
        <w:t>Die Vorinstanz hat festgehalten, zwischen dem Beschwerdeführer und der Arrest- gläubigerin sei am 4. September 2018 ein gültiger Kaufvertrag zustandgekommen. In formeller Hinsicht bestreitet der Beschwerdeführer diesbezüglich einerseits die Ausstel- lung einer Vollmacht zuhanden der Sekretärin der Notarin bzw. die Echtheit der Voll- macht. Andererseits bringt er ein, die Notarin habe die notarielle Urkunde ihm nie rechts- wirksam zugestellt.</w:t>
      </w:r>
    </w:p>
    <w:p>
      <w:r>
        <w:rPr>
          <w:b/>
        </w:rPr>
        <w:t>E. 4.1</w:t>
      </w:r>
    </w:p>
    <w:p>
      <w:r>
        <w:t>Den notariellen Kaufvertrag vom 4. September 2018 zwischen den Parteien unter- zeichnete für den Käufer und Beschwerdeführer die Notariatssekretärin (BK 2024 40 S. 14). Den Akten liegt die Bevollmächtigung der Letzteren durch den Käufer und Be- schwerdeführer in Form des Dokuments «Power of attorney» vom 8. April 2018 (BK 2024 108 S. 81 ff.) bei. Explizit wurde darin die Vollmachtnehmerin ermächtigt, den Kaufvertrag, gemäss welchem der Vollmachtgeber die StWE-Einheit 232/45 (20/1000), gelegen in B _________, von Y _________ käuflich zum Preis von Fr. 241'625.00 er- warb, zu unterzeichnen. Mithin ging es um den Erwerb einer Immobilie als solche. Auf dem Schriftstück «Power of attorney» wurde mit handschriftlicher Notiz der Ort (Tel Aviv) sowie das Datum (8. April 2018) angebracht. Dies erweckt zumindest den Anschein, dass das englisch/deutsch verfasste und mit einer weiteren handschriftlichen Notiz ver- sehene Papier in den Machtbereich des in Tel Aviv ansässigen Beschwerdeführers ge- langt war. Weiter wurde das Dokument auf Seite 3 mit einer handschriftlichen Unter- schrift versehen (BK 2024 108 S. 82). Ein einfacher Unterschriftenabgleich dieses Do- kuments mit der an seinen Rechtsanwalt ausgestellten und unterschriebenen Vollmacht (BK 2024 108 S. 4), mit den auf den «Agreement» angebrachten Unterschriften (BK</w:t>
      </w:r>
    </w:p>
    <w:p>
      <w:r>
        <w:t>- 8 - 2024 108 S. 39, C3 24 87 S. 42) oder der Unterschrift auf dem «SALES CONTRACT 1/1/1/» (BK 2024 108 S. 32) zeigt eine Übereinstimmung. Die Schlussfolgerung der Ein- zelrichterin, die Bevollmächtigung der Notariatssekretärin durch den Beschwerdeführer sei mit dem «Power of attorney» vom 8. April 2018 erfolgt und mithin, dass die Vollmacht echt sei, erweist sich daher als glaubhaft. Glaubhaft gemacht sind nämlich Darlegungen oder Erklärungen, wenn für ihr Vorhandensein aufgrund objektiver Anhaltspunkte eine gewisse Wahrscheinlichkeit spricht (Bundesgerichtsurteil 5A_899/2017 vom 11. Januar 2018 E. 2.1). Abgesehen davon wurde besagte Notariatssekretärin bereits mit dem – vom Beschwerdeführer unstrittig am 7. Februar 2018 unterzeichneten Papier – «SALES CONTRACT 1/1/18» (BK 2024 108 S. 26 Ziffer 3. b) eigens für den Immobilienkauf be- vollmächtigt. Als unglaubwürdig erweist sich der Einwand des Beschwerdeführers, den Namen der Bevollmächtigten nicht gekannt zu haben, denn im besagten Dokument wird unter Ziffer 3 b dieser ausdrücklich aufgeführt (BK 2024 108 S. 26). Auch die stipulie- rende Notarin war ihm entgegen anderslautenden Darlegungen ein Begriff, da sowohl deren Funktion als auch ihr Vor- und Nachname bereits auf dem «SALES CONTRACT 1/1/18» betitelten Papier vom 7. Februar 2018 aufgeführt war (BK 2024 108 S. 25 Absatz 1; vgl. auch S. 32 Ziffer 16, wonach die Notarin das Papier persönlich vorlas). Die Voll- macht vom 8. April 2018 musste sodann glaubhaft dem Grundbuchamt zur Eintragung des Eigentumswechsels vorgelegen haben, ansonsten es am 4. Oktober 2018 (BK 2024 40 S. 32) nicht zum Eigentumswechsel gekommen wäre (vgl. Art. 965 f. ZGB). Wenn der Beschwerdeführer vorbringt, gemäss Lehre werde die öffentliche Beurkun- dung einer Vollmacht für einen Grundstückskauf postuliert, ist dagegen einzuwenden, dass in der Schweiz nach wie vor keine solchen Formvorschriften für die Vollmacht gel- ten (vgl. Art. 87 Abs. 3 NG; Art. 965 Abs. 2 ZGB). Auch eine mündliche Vollmacht ist an sich gültig. Für ein formbedürftiges Geschäft – wie in casu der Kaufvertrag über eine Liegenschaft, der öffentlich beurkundet werden muss – kann es in der Praxis notwendig sein, die Unterschrift in der Vollmacht durch einen Notar beglaubigen zu lassen (vgl. Art. 94 NG, Art. 20 und 195 EGZBG). Dabei kommt die Beglaubigung einer privaten Unterschrift für den Erwerb einer Immobilie als solche nicht einer solchen bezüglich einer öffentlichen Urkunde gleich, für welche gegebenenfalls eine Apostille die Herkunft be- zeugt. Sie sagt auch nichts über den Inhalt des unterzeichneten Dokumentes aus, z.B. ob der Unterzeichnende mit dem Inhalt einverstanden ist oder nicht. In casu liegt den Akten das Schriftstück «Beglaubigung der Unterschrift» vom 6. September 2018 bei (BK 2024 108 S. 83), wonach die Notarin die Unterschrift des Beschwerdeführers durch Ver- gleich mit dessen Pass Nr. 10943222 am 6. September 2018 als echt beglaubigt hat.</w:t>
      </w:r>
    </w:p>
    <w:p>
      <w:r>
        <w:t>- 9 - Ihre Echtheit sei durch Vergleich mit der Unterschrift auf dem zitierten Ausweis festge- stellt worden. Die vergleichsweise Beglaubigung einer Unterschrift ist möglich, wenn die Referenz-Unterschrift in einer öffentlichen Urkunde oder einem amtlichen Schriftstück enthalten ist (Art. 195 Abs. 3 EGZGB). In casu wurde die Kopie zweier Seiten des Pas- ses des Beschwerdeführers hinterlegt (BK 2024 108 S. 84), was dessen Besitz durch die Notarin indiziert und die Glaubhaftmachung der Echtheit der Vollmacht untermauert. Daran ändert auch der Einwand des Beschwerdeführers nichts, die Daten der Vollmacht- gebung und des Vertragsabschlusses seien nicht identisch, wurde die Vollmacht unstrit- tig vor Abschluss des notariellen Vertrages ausgestellt.</w:t>
      </w:r>
    </w:p>
    <w:p>
      <w:r>
        <w:rPr>
          <w:b/>
        </w:rPr>
        <w:t>E. 4.2</w:t>
      </w:r>
    </w:p>
    <w:p>
      <w:r>
        <w:t>Bezüglich der Zustellung der Vertragsurkunde schreibt das Gesetz für das gültige Zustandekommen eines Grundstückkaufvertrages lediglich die öffentliche Beurkundung vor und macht davon nicht eine formelle Zustellung des Vertrages an den Käufer oder Verkäufer abhängig. Im Übrigen beschlägt diese Einrede das Verhältnis zwischen dem Beschwerdeführer und der Notarin, die allenfalls aus standesrechtlicher Sicht oder auf anderer rechtlicher Grundlage diese Unterlassung zu verantworten hat. Keinesfalls kann jedoch von der Zustellung die Gültigkeit des Vertrages abhängig gemacht werden, führte doch der grundbuchrechtliche Eintrag zum Eigentumserwerb.</w:t>
      </w:r>
    </w:p>
    <w:p>
      <w:r>
        <w:rPr>
          <w:b/>
        </w:rPr>
        <w:t>E. 5.1</w:t>
      </w:r>
    </w:p>
    <w:p>
      <w:r>
        <w:t>Nach dem Dargelegten ist insgesamt zumindest glaubhaft, dass der Kaufvertrag vom 4. September 2018 gültig zustandegekommen ist, der Beschwerdeführer und Schuldner ab Grundbucheintrag Eigentümer der erworbenen Liegenschaft StWE 232/45 wurde, wobei die Beschwerdegegnerin als Verkäuferin fungierte, und mithin ein Kauf- preis von Fr. 241'625.00 vereinbart worden ist. Aktenkundig ist weiter, dass der Betrag von Fr. 117'312.00 treuhänderisch bezahlt worden ist. Es wurde auch glaubhaft ge- macht, dass die zweite Rate von Fr. 49'725.00 gemäss Vollmacht und Vertrag nach Be- ginn der Renovationsarbeiten fällig und zu bezahlen war.</w:t>
      </w:r>
    </w:p>
    <w:p>
      <w:r>
        <w:rPr>
          <w:b/>
        </w:rPr>
        <w:t>E. 5.2</w:t>
      </w:r>
    </w:p>
    <w:p>
      <w:r>
        <w:t>Bezüglich der dritten Rate von Fr. 49'725.00 sind demgegenüber in sprachlicher Hinsicht Ungereimtheiten festzustellen. Während in der Vollmacht «Power of attorney» (BK 2024 108 S. 82) und im Papier «SALES CONTRACT 1/1/18» (BK 2024 108 S. 26) in englischer Sprache steht: «CHF 49'725.00, after completion of the structural alteration works / renovation works», und die deutsche Übersetzung in der Vollmacht lautet: «CHF 49'725.00 sind zahlbar nach Beendigung der Renovationsarbeiten», heisst es in der ausschliesslich deutschen Fassung des Kaufvertrages vom 4. September 2018: «CHF 49'725.00 nach Beendigung des Rohbaus 2».</w:t>
      </w:r>
    </w:p>
    <w:p>
      <w:r>
        <w:t>- 10 - Die vertragliche Abweichung «nach Beendigung des Rohbaus 2», auf welche sich die Arrestgläubigerin stützt, widerspricht demzufolge der Bevollmächtigung bzw. ist durch die Vollmacht nicht gedeckt, sodass die Fälligkeit dieser 3. Rate nicht glaubhaft er- scheint. Weder wird diese Bauphase in irgendeinem anderen hinterlegten Dokument de- finiert, noch finden sich dazu oder zu anderen Rohbauphasen (beispielsweise zur ersten) Hinweise irgendeiner Art in den Akten. Wie dargelegt, stimmt dieser Fälligkeitszeitpunkt für die dritte Rate weder mit dem englischen noch mit dem deutschen Wortlaut der er- teilten Vollmacht überein, lautete diese doch auf Beendigung der Renovationsarbeiten. Diesbezüglich weist der Bericht der Bauleitung über die Renovationsarbeiten (BK 2024 40 S. 40) Positionen auf («communs en cours de finition, manque la pose de moquette, quelques points lumieux et des retouches de peintre, balcon métallique en cour de pose, verres des balconss en cour livraison, pose du jardin hiver en cour »), die am 28. Ja- nuar 2024 noch nicht beendet waren. Wenn sich sodann die Arrestgläubigerin auf die hinterlegten Fotos beruft, erweisen sich diese bezüglich des Zeitpunkts der Beendigung der Renovationsarbeiten ebenfalls als wenig aussagekräftig bzw. glaubhaft, zumal nicht erkennbar ist, wann diese Aufnahmen entstanden sind und welche Wohneinheiten diese betreffen. Wie die Beschwerdegegnerin selber darlegt, hat sie aufgrund der nicht vollen- deten Umbauarbeiten auf die Einforderung der letzten Ratenzahlung vorläufig noch ver- zichtet, womit sie selbst einräumt, dass diese gerade noch nicht abgeschlossen sind.</w:t>
      </w:r>
    </w:p>
    <w:p>
      <w:r>
        <w:rPr>
          <w:b/>
        </w:rPr>
        <w:t>E. 5.3</w:t>
      </w:r>
    </w:p>
    <w:p>
      <w:r>
        <w:t>Damit erweist sich der Einwand des Beschwerdeführers hinsichtlich der dritten Ra- tenzahlung im Betrag von Fr. 49'725.00 inkl. Zins als berechtigt und ist die Arrestforde- rung um diesen Betrag herabzusetzen.</w:t>
      </w:r>
    </w:p>
    <w:p>
      <w:r>
        <w:rPr>
          <w:b/>
        </w:rPr>
        <w:t>E. 6.1</w:t>
      </w:r>
    </w:p>
    <w:p>
      <w:r>
        <w:t>Der Beschwerdeführer verlangte ferner die verrechnungsweise Berücksichtigung des Betrages von Fr. 105'207.00 und rügt eine Verletzung von Art. 120 ff. OR, weil die Vorinstanz ihm das Recht auf Verrechnung abgesprochen habe. Die Verrechnung setzt auf jeder Seite eine Forderung voraus; eine blosse Anwartschaft, wie sie bspw. der Verkäufer aus der blossen Einräumung eines Kaufrechts erwirbt, ge- nügt nicht (BGE 105 III 4 E. 4b). Eine Forderung kann nur dann gegen den Willen des Gläubigers verrechnet werden, wenn er Schuldner der Gegenforderung ist. Gemäss Art. 120 Abs. 1 OR ist nämlich die Verrechnung nur möglich, wenn zwei Personen ei- nander etwas schulden.</w:t>
      </w:r>
    </w:p>
    <w:p>
      <w:r>
        <w:rPr>
          <w:b/>
        </w:rPr>
        <w:t>E. 6.2</w:t>
      </w:r>
    </w:p>
    <w:p>
      <w:r>
        <w:t>Der Beschwerdeführer will in casu mit einer Forderung verrechnen, die ihm nicht gegen die Arrestgläubigerin, sondern gegen die A _________ GmbH und / oder</w:t>
      </w:r>
    </w:p>
    <w:p>
      <w:r>
        <w:t>- 11 - C _________ AG zusteht, die mit der Renovation der Liegenschaft beauftragt worden waren. Diese Parteien und die Arrestgläubigerin sind jedoch rechtlich verschiedene Per- sonen. Eine Zession ist nicht erfolgt. Der Umstand, dass die Arrestgläubigerin gleichzei- tig Aktionärin oder Verwaltungsratspräsidentin einer der Firmen ist, ändert nichts daran, dass es sich hier um rechtlich selbstständige Personen handelt, da dass Vermögen und die Schulden der juristischen Personen nicht mit denen ihrer Aktionärin oder Präsidentin verschmelzen (vgl. BGE 85 II 111 E. 2.). Allfällige Forderungen des Beschwerdeführers gegenüber den juristischen Personen sind nicht ohne weiteres solchen gegenüber der Arrestgläubigerin gleichzustellen. Im Übrigen führt der Beschwerdeführer eine Diskus- sion bezüglich des Durchgriffsrechts, die weit über die Kognition des Beschwerderichters im Arresteinspracheverfahren hinausgeht, da dieser nicht über heikle Fragen des mate- riellen Rechts zu entscheiden hat. Mithin ist an der rechtlichen Verschiedenheit der Par- teien in casu festzuhalten. Jedenfalls kann der Vorinstanz keine offensichtlich unrichtige Feststellung des Sachverhaltes vorgeworfen werden, wenn sie eine Verrechnung ge- mäss Art. 120 Abs. 1 OR verweigerte und den Arrest aufrechterhielt. Dass sich schliess- lich der Beschwerdeführer zu einer Anzahlung bei Vertragsabschluss bzw. zu einer Ra- tenzahlung zu Beginn der Arbeiten verpflichtet hat, ohne die Fertigstellung bzw. den Ab- schluss der Umbauarbeiten der Wohneinheit zu fordern, kann nicht der Beschwerdegeg- nerin angelastet werden.</w:t>
      </w:r>
    </w:p>
    <w:p>
      <w:r>
        <w:rPr>
          <w:b/>
        </w:rPr>
        <w:t>E. 6.3</w:t>
      </w:r>
    </w:p>
    <w:p>
      <w:r>
        <w:t>Wenn der Beschwerdeführer sodann ergänzt, mit Kaufvertrag vom 4. Septem- ber 2018 sei die Verkäuferin auch werkvertragliche Verpflichtungen eingegangen, kann ihm auch darin nicht gefolgt werden. Dem in den Akten hinterlegten Kaufvertrag vom 4. September 2018 lässt sich dergleichen nicht entnehmen. Jedenfalls geht aus dem Verkauf einer unvollendeten Baute nicht unmittelbar die Verpflichtung des Verkäufers einher, für Renovationsarbeiten einzustehen, sofern dies nicht vertraglich ausdrücklich vereinbart worden ist. An einer solchen Klausel fehlt es vorliegend und sie lässt sich auch nicht aus den Ziffern 3, 4 und 6 des Vertrages ableiten. Zudem verpflichtete sich die Arrestgläubigerin gegenüber dem Beschwerdeführer in keiner Art und Weise zu Ver- zugsleistungen oder Renditezahlungen. Zwar sicherte die Verkäuferin vertraglich Garan- tieleistungen gemäss SIA-Normen zu (Artikel 9 des Vertrages), diese sind jedoch an die Voraussetzungen der Werkabnahme und Schlüsselübergabe gebunden. Beides war im Zeitpunkt der Arrestierung unstrittig noch nicht erfolgt. Mithin hat der Schuldner und Beschwerdeführer nicht glaubhaft gemacht, dass bei der Arrestierung eine (fällige) Gegenforderung bestanden hätte.</w:t>
      </w:r>
    </w:p>
    <w:p>
      <w:r>
        <w:t>- 12 -</w:t>
      </w:r>
    </w:p>
    <w:p>
      <w:r>
        <w:rPr>
          <w:b/>
        </w:rPr>
        <w:t>E. 6.4</w:t>
      </w:r>
    </w:p>
    <w:p>
      <w:r>
        <w:t>Der weitere Einwand des Beschwerdeführers, der Kaufvertrag über die Liegenschaft vom 4. September 2018 und der Werkvertrag über die Renovationsarbeiten vom 7. Feb- ruar 2018 seien materiell und personell derart eng verknüpft, dass von einer Gegensei- tigkeit auszugehen sei, ist ebenfalls unbehelflich, zumal der vorgängig verfasste «Werk- vertrag» nicht integrierender Bestandteil des danach abgeschlossenen Kaufvertrages bildete. Ohnehin wären diese Einwände in einem allfälligen ordentlichen Verfahren im Rahmen der Arrestprosquierung vor dem Sachrichter zu klären und nicht im Beschwer- deverfahren im Rahmen der Arresteinsprache.</w:t>
      </w:r>
    </w:p>
    <w:p>
      <w:r>
        <w:rPr>
          <w:b/>
        </w:rPr>
        <w:t>E. 7</w:t>
      </w:r>
    </w:p>
    <w:p>
      <w:r>
        <w:t>In einer Beschwerde gegen den Arresteinspracheentscheid können gemäss Art. 278 Abs. 3 Satz 2 SchKG neue Tatsachen geltend gemacht werden (Botschaft zur ZPO, BBl 2006 7379 Ziff. 5.23.2; vgl. oben E. 2.1). Zu den neuen Tatsachen zählen gemäss bun- desgerichtlicher Rechtsprechung gleichermassen echte und unechte Noven, wobei mit den Letzteren diejenigen Tatsachen und Beweismittel gemeint sind, die bereits vor dem Einspracheentscheid bestanden haben (BGE 145 III 324 E. 6.6.4). Diese sind jedenfalls soweit zuzulassen, als sie entschuldbar nicht bereits im Einspracheverfahren vorgetra- gen worden sind (Urteil des Kantonsgerichts Wallis vom 8. März 2013, in: ZWR 2013 S. 301 E. 3.3.1). Eine Beweiserhebung in Form der Edition der Originalvollmacht oder der Anfertigung eines forensischen Schriftgutachtens, wie vom Beschwerdeführer bean- tragt, betreffen alte, d.h. vor dem Einspracheentscheid eingetretene Tatsachen, die in unentschuldbarer Weise nicht bereits früher geltend gemacht wurden. Abgesehen davon hat das Gericht die Schriftstücke der Vorinstanz in Bezug auf den vorliegenden Fall so- wie alle eingereichten und hinterlegten Belege zu den Akten genommen. Von der anbe- gehrten Edition bzw. Anfertigung eines forensischen Gutachtens sind im Hinblick auf die hier massgebende Glaubhaftmachung keine entscheidrelevanten Erkenntnisse zu er- warten. Demzufolge ist der vom Beschwerdeführer gestellte Beweismittelantrag in anti- zipierter Beweiswürdigung abzuweisen, sofern dieser überhaupt zu berücksichtigen wäre.</w:t>
      </w:r>
    </w:p>
    <w:p>
      <w:r>
        <w:rPr>
          <w:b/>
        </w:rPr>
        <w:t>E. 8</w:t>
      </w:r>
    </w:p>
    <w:p>
      <w:r>
        <w:t>Nach dem Dargelegten ist im Ergebnis die Arrestforderung im Umfang von Fr. 49'725.00 nebst Zins zu 5% seit dem 15. Februar 2021 zuzulassen, demgegenüber im Umfang von Fr. 49'725.00 nebst Zins zu 5% seit dem 23. Februar 2023 aufzuheben, was zur teilweisen Gutheissung der Beschwerde führt.</w:t>
      </w:r>
    </w:p>
    <w:p>
      <w:r>
        <w:rPr>
          <w:b/>
        </w:rPr>
        <w:t>E. 9.1</w:t>
      </w:r>
    </w:p>
    <w:p>
      <w:r>
        <w:t>In Bezug auf den Arrest betreffend die Liegenschaft behauptet der Arrestschuldner</w:t>
      </w:r>
    </w:p>
    <w:p>
      <w:r>
        <w:t>- 13 - einen Schaden und verlangt eine Arrestkaution. Entsprechend stellte er im Beschwerde- verfahren auch einen eigenständigen (Eventual-) Antrag auf Auferlegung einer Arrest- kaution.</w:t>
      </w:r>
    </w:p>
    <w:p>
      <w:r>
        <w:rPr>
          <w:b/>
        </w:rPr>
        <w:t>E. 9.2</w:t>
      </w:r>
    </w:p>
    <w:p>
      <w:r>
        <w:t>Der Kautionsanspruch nach Art. 273 Abs. 1 Satz 2 SchKG setzt voraus, dass ge- wisse mehr oder weniger ernsthafte Zweifel am Bestand der Arrestforderung, am Arrest- grund oder an der Zugehörigkeit der Arrestgegenstände zum schuldnerischen Vermö- gen bestehen (BGE 126 III 95 E. 5; Bundesgerichtsurteil 5A_807/2016 vom 22. März 2017 E. 5.1; Urteil des Obergerichts des Kantons Zürich PS160156 vom</w:t>
      </w:r>
    </w:p>
    <w:p>
      <w:r>
        <w:rPr>
          <w:b/>
        </w:rPr>
        <w:t>E. 14</w:t>
      </w:r>
    </w:p>
    <w:p>
      <w:r>
        <w:t>Februar 2017 E. 2.7.3). Das Gericht kann mithin eine Arrestkaution verlangen, wenn die Gefahr eines ungerechtfertigten Arrests existiert, welcher einen Schaden verursacht. Das Bestehen der Arrestforderung oder des Arrestgrunds muss so unsicher erscheinen, dass nicht ausgeschlossen werden kann, dass sich die Tatsachen anders ereignet ha- ben oder die rechtliche Situation nach einer fundierteren Überprüfung als im summari- schen Verfahren verschieden beurteilt wird. Für die Auferlegung einer Arrestkaution spricht also insbesondere, wenn Unsicherheitsmomente bei schwierig darlegbaren Ar- restvoraussetzungen existieren. Dies trifft in casu nicht zu. Der Arrestgläubigerin gelang die Glaubhaftmachung der Arrestforderung im Betrag von Fr. 49'725.00 nebst Zins zu 5% ab dem 15. Februar 2021 und es liegen auch keine schwierig darlegbaren Arrestvo- raussetzungen vor, weshalb wie im Vorverfahren auf die Erhebung einer Kaution ver- zichtet werden muss. Die dagegen vorgebrachten Einwände des Arrestschuldners ver- mögen daran nichts zu ändern. Insbesondere ist die Arrestkaution gemäss Art. 273 Abs. 1 Satz 2 SchKG keine Sicherheit für die Parteientschädigung i.S.v. Art. 99 ZPO (Entscheid des Obergerichts des Kantons Zürich PS1900037 vom 3. Mai 2019 E. 1.3). Es besteht auch keine andere Rechtsgrundlage für die vom Beschwerdeführer bean- tragte Sicherheitsleistung. 10. 10.1 Die Prozesskosten sind nach Obsiegen zu verlegen (Art. 104 f. ZPO). Wird die Arrestforderung um die Hälfte herabgesetzt, so ist es gerechtfertigt, die Kosten der Ver- fahren vor Bezirks- und Kantonsgericht zu je 1/2 der Arrestgläubigerin und dem Arrest- schuldner aufzuerlegen. Die Höhe der von der Vorinstanz gesprochenen Kosten wurde nicht besonders gerügt, weshalb diese bestätigt werden kann. Gemäss Art. 61 GebV SchKG kann das obere Gericht, an das eine betreibungsrechtliche Summarsache (Art. 251 ZPO) weitergezogen wird, für seinen Entscheid eine Gebühr erheben, die höchstens das Anderthalbfache der</w:t>
      </w:r>
    </w:p>
    <w:p>
      <w:r>
        <w:t>- 14 - für die Vorinstanz zulässigen Gebühr beträgt. Art. 48 GebV SchKG sieht für einen Streit- wert von Fr. 10’000.00 bis Fr. 100’000.00 eine Spruchgebühr von Fr. 60.00 bis Fr. 500.00 vor, womit die Gebühr im Rechtsmittelverfahren das Anderthalbfache, d.h. maximal Fr. 750.00 beträgt. In diesem Sinne wird eine Spruchgebühr von Fr. 600.00 festgesetzt (Art. 61 Abs. 1 i.V.m. Art. 48 GebV SchKG). Diese wird wie die Gerichtskosten der Vo- rinstanz hälftig den Parteien auferlegt und mit dem vom Beschwerdeführer geleisteten Vorschuss von Fr. 600.00 verrechnet (Art. 111 ZPO). Die Beschwerdegegnerin schuldet dem Beschwerdeführer für geleisten Vorschuss Fr. 300.00. 10.2 Hat keine Partei vollständig obsiegt, so werden die Prozesskosten nach dem Aus- gang des Verfahrens verteilt (Art. 106 Abs. 2 ZPO). Unter den Voraussetzungen des Art. 107 ZPO kann das Gericht diese nach Ermessen verteilen. Das Gericht verfügt in casu aufgrund der Tatsache, dass die Parteien je zu etwa gleichen Teilen obsiegen, dass jede Partei ihre eigenen Kosten, insbesondere ihre notwendigen Auslagen wie die Anwaltskosten selber trägt. 10.3 Im Einspracheverfahren hat das Bezirksgericht die Parteikosten dem Beschwerde- führer auferlegt. Aufgrund der vorgenannten Kriterien und da im schriftlichen Verfahren der Aufwand der Parteien seinen unmittelbaren Niederschlag in den Akten findet, ent- scheidet das Kantonsgericht, dass auch diesbezüglich die Parteikosten wettgeschlagen werden.</w:t>
      </w:r>
    </w:p>
    <w:p>
      <w:r>
        <w:t>- 15 - Das Kantonsgericht beschliesst</w:t>
      </w:r>
    </w:p>
    <w:p>
      <w:r>
        <w:t>Der Beweismittelantrag auf Edition und Einholung eines Gutachtens wird abgewie- sen. und erkennt: 1. Die Beschwerde wird teilweise gutgeheissen und der Entscheid des Bezirksgerichts Leuk und Westlich-Raron vom 27. Juni 2024 wie folgt neu gefasst: «1. Die Einsprache von X _________ vom 19. April 2024 gegen den Arrestbefehl Nr. 3171824 des Betreibungsamtes Oberwallis vom 7. Februar / 5. März 2024 wird teilweise gutgeheissen und die Arrestforderung von Y _________ wird auf Fr. 49'725.00 zuzüglich Zins von 5% seit dem 23. Februar 2023 herabgesetzt. Soweit weitergehend wird die Einsprache abgewiesen. 2. Das Gesuch von X _________ auf Auferlegung einer Arrestkaution in Höhe von Fr. 25'000.00 wird abgewiesen. 3. Die Kosten von Fr. 500.00 werden hälftig geteilt und je im Umfang von Fr. 250.00 von den Parteien getragen. 4. Die Parteikosten werden wettgeschlagen». 2. Der Antrag des Beschwerdeführers, die Beschwerdegegnerin habe für Schäden aus dem Arrestbefehl eine angemessene Sicherheit zu leisten, wird abgewiesen. 3. Die Gerichtskosten des vorliegenden Beschwerdeverfahrens, bestimmt auf Fr. 600.00, werden je hälftig den Parteien auferlegt und mit dem vom Beschwerde- führer geleisteten Kostenvorschuss verrechnet. Die Beschwerdegegnerin schuldet dem Beschwerdeführer Fr. 300.00 für geleisteten Vorschuss. 4. Die Parteikosten für das kantonsgerichtliche Beschwerdeverfahren werden wettge- schlagen.</w:t>
      </w:r>
    </w:p>
    <w:p>
      <w:r>
        <w:t>Sitten, 29. November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